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CD8" w:rsidRPr="00E15CD8" w:rsidRDefault="00E15CD8" w:rsidP="00E15CD8">
      <w:pPr>
        <w:spacing w:after="0" w:line="240" w:lineRule="auto"/>
        <w:rPr>
          <w:rFonts w:eastAsia="Times New Roman" w:cs="Times New Roman"/>
          <w:lang w:eastAsia="pl-PL"/>
        </w:rPr>
      </w:pPr>
      <w:r w:rsidRPr="00E15CD8">
        <w:rPr>
          <w:rFonts w:eastAsia="Times New Roman" w:cs="Times New Roman"/>
          <w:color w:val="000000"/>
          <w:shd w:val="clear" w:color="auto" w:fill="FFFFFF"/>
          <w:lang w:eastAsia="pl-PL"/>
        </w:rPr>
        <w:t xml:space="preserve">Do zakupu opakowanego oprogramowania w wersji edukacyjnej lub skorzystania z programu Corel Volume </w:t>
      </w:r>
      <w:proofErr w:type="spellStart"/>
      <w:r w:rsidRPr="00E15CD8">
        <w:rPr>
          <w:rFonts w:eastAsia="Times New Roman" w:cs="Times New Roman"/>
          <w:color w:val="000000"/>
          <w:shd w:val="clear" w:color="auto" w:fill="FFFFFF"/>
          <w:lang w:eastAsia="pl-PL"/>
        </w:rPr>
        <w:t>Purchase</w:t>
      </w:r>
      <w:proofErr w:type="spellEnd"/>
      <w:r w:rsidRPr="00E15CD8">
        <w:rPr>
          <w:rFonts w:eastAsia="Times New Roman" w:cs="Times New Roman"/>
          <w:color w:val="000000"/>
          <w:shd w:val="clear" w:color="auto" w:fill="FFFFFF"/>
          <w:lang w:eastAsia="pl-PL"/>
        </w:rPr>
        <w:t xml:space="preserve"> Program uprawnione są wyłącznie akredytowane szkoły, pracownicy wydziałów instytucji edukacyjnych, studenci wyższych uczelni, akademickie instytucje nadzoru, szpitale, biblioteki, muzea oraz niekomercyjne organizacje charytatywne i religijne.</w:t>
      </w:r>
      <w:r w:rsidRPr="00E15CD8">
        <w:rPr>
          <w:rFonts w:eastAsia="Times New Roman" w:cs="Times New Roman"/>
          <w:color w:val="000000"/>
          <w:lang w:eastAsia="pl-PL"/>
        </w:rPr>
        <w:br/>
      </w:r>
      <w:r w:rsidRPr="00E15CD8">
        <w:rPr>
          <w:rFonts w:eastAsia="Times New Roman" w:cs="Times New Roman"/>
          <w:color w:val="000000"/>
          <w:lang w:eastAsia="pl-PL"/>
        </w:rPr>
        <w:br/>
      </w:r>
      <w:r w:rsidRPr="00E15CD8">
        <w:rPr>
          <w:rFonts w:eastAsia="Times New Roman" w:cs="Times New Roman"/>
          <w:color w:val="000000"/>
          <w:shd w:val="clear" w:color="auto" w:fill="FFFFFF"/>
          <w:lang w:eastAsia="pl-PL"/>
        </w:rPr>
        <w:t>Przez wyżej wymienione kategorie nabywców uprawnionych do cen wersji edukacyjnych należy dalej rozumieć:</w:t>
      </w:r>
      <w:r w:rsidRPr="00E15CD8">
        <w:rPr>
          <w:rFonts w:eastAsia="Times New Roman" w:cs="Times New Roman"/>
          <w:color w:val="000000"/>
          <w:lang w:eastAsia="pl-PL"/>
        </w:rPr>
        <w:br/>
      </w:r>
      <w:r w:rsidRPr="00E15CD8">
        <w:rPr>
          <w:rFonts w:eastAsia="Times New Roman" w:cs="Times New Roman"/>
          <w:color w:val="000000"/>
          <w:shd w:val="clear" w:color="auto" w:fill="FFFFFF"/>
          <w:lang w:eastAsia="pl-PL"/>
        </w:rPr>
        <w:t>Akredytowane szkoły</w:t>
      </w:r>
      <w:r w:rsidRPr="00E15CD8">
        <w:rPr>
          <w:rFonts w:eastAsia="Times New Roman" w:cs="Times New Roman"/>
          <w:color w:val="000000"/>
          <w:lang w:eastAsia="pl-PL"/>
        </w:rPr>
        <w:br/>
      </w:r>
      <w:r w:rsidRPr="00E15CD8">
        <w:rPr>
          <w:rFonts w:eastAsia="Times New Roman" w:cs="Times New Roman"/>
          <w:color w:val="000000"/>
          <w:lang w:eastAsia="pl-PL"/>
        </w:rPr>
        <w:br/>
      </w:r>
      <w:r w:rsidRPr="00E15CD8">
        <w:rPr>
          <w:rFonts w:eastAsia="Times New Roman" w:cs="Times New Roman"/>
          <w:b/>
          <w:bCs/>
          <w:color w:val="002052"/>
          <w:shd w:val="clear" w:color="auto" w:fill="FFFFFF"/>
          <w:lang w:eastAsia="pl-PL"/>
        </w:rPr>
        <w:t>Instytucje mogące stanowić własność publiczną lub prywatną.</w:t>
      </w:r>
      <w:r w:rsidRPr="00E15CD8">
        <w:rPr>
          <w:rFonts w:eastAsia="Times New Roman" w:cs="Times New Roman"/>
          <w:color w:val="000000"/>
          <w:lang w:eastAsia="pl-PL"/>
        </w:rPr>
        <w:br/>
      </w:r>
      <w:bookmarkStart w:id="0" w:name="_GoBack"/>
      <w:bookmarkEnd w:id="0"/>
    </w:p>
    <w:p w:rsidR="00E15CD8" w:rsidRPr="00E15CD8" w:rsidRDefault="00E15CD8" w:rsidP="00E15CD8">
      <w:pPr>
        <w:numPr>
          <w:ilvl w:val="0"/>
          <w:numId w:val="1"/>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Przedszkola</w:t>
      </w:r>
    </w:p>
    <w:p w:rsidR="00E15CD8" w:rsidRPr="00E15CD8" w:rsidRDefault="00E15CD8" w:rsidP="00E15CD8">
      <w:pPr>
        <w:numPr>
          <w:ilvl w:val="0"/>
          <w:numId w:val="1"/>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Szkoły podstawowe</w:t>
      </w:r>
    </w:p>
    <w:p w:rsidR="00E15CD8" w:rsidRPr="00E15CD8" w:rsidRDefault="00E15CD8" w:rsidP="00E15CD8">
      <w:pPr>
        <w:numPr>
          <w:ilvl w:val="0"/>
          <w:numId w:val="1"/>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Szkoły średnie</w:t>
      </w:r>
    </w:p>
    <w:p w:rsidR="00E15CD8" w:rsidRPr="00E15CD8" w:rsidRDefault="00E15CD8" w:rsidP="00E15CD8">
      <w:pPr>
        <w:numPr>
          <w:ilvl w:val="0"/>
          <w:numId w:val="1"/>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Szkoły zawodowe</w:t>
      </w:r>
    </w:p>
    <w:p w:rsidR="00E15CD8" w:rsidRPr="00E15CD8" w:rsidRDefault="00E15CD8" w:rsidP="00E15CD8">
      <w:pPr>
        <w:numPr>
          <w:ilvl w:val="0"/>
          <w:numId w:val="1"/>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Szkoły korespondencyjne</w:t>
      </w:r>
    </w:p>
    <w:p w:rsidR="00E15CD8" w:rsidRPr="00E15CD8" w:rsidRDefault="00E15CD8" w:rsidP="00E15CD8">
      <w:pPr>
        <w:numPr>
          <w:ilvl w:val="0"/>
          <w:numId w:val="1"/>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Dwuletnie szkoły pomaturalne</w:t>
      </w:r>
    </w:p>
    <w:p w:rsidR="00E15CD8" w:rsidRPr="00E15CD8" w:rsidRDefault="00E15CD8" w:rsidP="00E15CD8">
      <w:pPr>
        <w:numPr>
          <w:ilvl w:val="0"/>
          <w:numId w:val="1"/>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Szkoły pomaturalne</w:t>
      </w:r>
    </w:p>
    <w:p w:rsidR="00E15CD8" w:rsidRPr="00E15CD8" w:rsidRDefault="00E15CD8" w:rsidP="00E15CD8">
      <w:pPr>
        <w:numPr>
          <w:ilvl w:val="0"/>
          <w:numId w:val="1"/>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Uniwersytety lub instytuty naukowe i techniczne uznane przez odpowiednie ministerstwo lub resort edukacji</w:t>
      </w:r>
    </w:p>
    <w:p w:rsidR="00E15CD8" w:rsidRPr="00E15CD8" w:rsidRDefault="00E15CD8" w:rsidP="00E15CD8">
      <w:pPr>
        <w:spacing w:after="0" w:line="240" w:lineRule="auto"/>
        <w:rPr>
          <w:rFonts w:eastAsia="Times New Roman" w:cs="Times New Roman"/>
          <w:lang w:eastAsia="pl-PL"/>
        </w:rPr>
      </w:pPr>
      <w:r w:rsidRPr="00E15CD8">
        <w:rPr>
          <w:rFonts w:eastAsia="Times New Roman" w:cs="Times New Roman"/>
          <w:color w:val="000000"/>
          <w:lang w:eastAsia="pl-PL"/>
        </w:rPr>
        <w:br/>
      </w:r>
      <w:r w:rsidRPr="00E15CD8">
        <w:rPr>
          <w:rFonts w:eastAsia="Times New Roman" w:cs="Times New Roman"/>
          <w:b/>
          <w:bCs/>
          <w:color w:val="002052"/>
          <w:shd w:val="clear" w:color="auto" w:fill="FFFFFF"/>
          <w:lang w:eastAsia="pl-PL"/>
        </w:rPr>
        <w:t xml:space="preserve">Nauczyciele </w:t>
      </w:r>
      <w:proofErr w:type="spellStart"/>
      <w:r w:rsidRPr="00E15CD8">
        <w:rPr>
          <w:rFonts w:eastAsia="Times New Roman" w:cs="Times New Roman"/>
          <w:b/>
          <w:bCs/>
          <w:color w:val="002052"/>
          <w:shd w:val="clear" w:color="auto" w:fill="FFFFFF"/>
          <w:lang w:eastAsia="pl-PL"/>
        </w:rPr>
        <w:t>przedgimnazjalni</w:t>
      </w:r>
      <w:proofErr w:type="spellEnd"/>
      <w:r w:rsidRPr="00E15CD8">
        <w:rPr>
          <w:rFonts w:eastAsia="Times New Roman" w:cs="Times New Roman"/>
          <w:b/>
          <w:bCs/>
          <w:color w:val="002052"/>
          <w:shd w:val="clear" w:color="auto" w:fill="FFFFFF"/>
          <w:lang w:eastAsia="pl-PL"/>
        </w:rPr>
        <w:t>, kadra szkół zawodowych, szkół pomaturalnych i wyższych uczelni</w:t>
      </w:r>
      <w:r w:rsidRPr="00E15CD8">
        <w:rPr>
          <w:rFonts w:eastAsia="Times New Roman" w:cs="Times New Roman"/>
          <w:color w:val="000000"/>
          <w:lang w:eastAsia="pl-PL"/>
        </w:rPr>
        <w:br/>
      </w:r>
      <w:r w:rsidRPr="00E15CD8">
        <w:rPr>
          <w:rFonts w:eastAsia="Times New Roman" w:cs="Times New Roman"/>
          <w:color w:val="000000"/>
          <w:lang w:eastAsia="pl-PL"/>
        </w:rPr>
        <w:br/>
      </w:r>
      <w:r w:rsidRPr="00E15CD8">
        <w:rPr>
          <w:rFonts w:eastAsia="Times New Roman" w:cs="Times New Roman"/>
          <w:color w:val="000000"/>
          <w:shd w:val="clear" w:color="auto" w:fill="FFFFFF"/>
          <w:lang w:eastAsia="pl-PL"/>
        </w:rPr>
        <w:t>Wymagane jest aktualne zaświadczenie o zatrudnieniu.</w:t>
      </w:r>
      <w:r w:rsidRPr="00E15CD8">
        <w:rPr>
          <w:rFonts w:eastAsia="Times New Roman" w:cs="Times New Roman"/>
          <w:color w:val="000000"/>
          <w:lang w:eastAsia="pl-PL"/>
        </w:rPr>
        <w:br/>
      </w:r>
    </w:p>
    <w:p w:rsidR="00E15CD8" w:rsidRPr="00E15CD8" w:rsidRDefault="00E15CD8" w:rsidP="00E15CD8">
      <w:pPr>
        <w:numPr>
          <w:ilvl w:val="0"/>
          <w:numId w:val="2"/>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Kadra i/lub personel akredytowanej szkoły, zatrudniony na pełny etat lub część etatu</w:t>
      </w:r>
    </w:p>
    <w:p w:rsidR="00E15CD8" w:rsidRPr="00E15CD8" w:rsidRDefault="00E15CD8" w:rsidP="00E15CD8">
      <w:pPr>
        <w:numPr>
          <w:ilvl w:val="0"/>
          <w:numId w:val="2"/>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Zarejestrowani i/lub uznani przez władze państwowe nauczyciele domowi nauczający na poziomie szkoły podstawowej, gimnazjum lub szkoły średniej</w:t>
      </w:r>
    </w:p>
    <w:p w:rsidR="00E15CD8" w:rsidRPr="00E15CD8" w:rsidRDefault="00E15CD8" w:rsidP="00E15CD8">
      <w:pPr>
        <w:spacing w:after="0" w:line="240" w:lineRule="auto"/>
        <w:rPr>
          <w:rFonts w:eastAsia="Times New Roman" w:cs="Times New Roman"/>
          <w:lang w:eastAsia="pl-PL"/>
        </w:rPr>
      </w:pPr>
      <w:r w:rsidRPr="00E15CD8">
        <w:rPr>
          <w:rFonts w:eastAsia="Times New Roman" w:cs="Times New Roman"/>
          <w:color w:val="000000"/>
          <w:lang w:eastAsia="pl-PL"/>
        </w:rPr>
        <w:br/>
      </w:r>
      <w:r w:rsidRPr="00E15CD8">
        <w:rPr>
          <w:rFonts w:eastAsia="Times New Roman" w:cs="Times New Roman"/>
          <w:b/>
          <w:bCs/>
          <w:color w:val="002052"/>
          <w:shd w:val="clear" w:color="auto" w:fill="FFFFFF"/>
          <w:lang w:eastAsia="pl-PL"/>
        </w:rPr>
        <w:t>Studenci</w:t>
      </w:r>
      <w:r w:rsidRPr="00E15CD8">
        <w:rPr>
          <w:rFonts w:eastAsia="Times New Roman" w:cs="Times New Roman"/>
          <w:color w:val="000000"/>
          <w:lang w:eastAsia="pl-PL"/>
        </w:rPr>
        <w:br/>
      </w:r>
    </w:p>
    <w:p w:rsidR="00E15CD8" w:rsidRPr="00E15CD8" w:rsidRDefault="00E15CD8" w:rsidP="00E15CD8">
      <w:pPr>
        <w:numPr>
          <w:ilvl w:val="0"/>
          <w:numId w:val="3"/>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Słuchacze studiów dziennych lub zaocznych. Wymagana jest ważna legitymacja studencka ze zdjęciem, jeśli zakup jest dokonywany za pośrednictwem autoryzowanego sprzedawcy wersji edukacyjnych produktów firmy Corel. W przypadku braku legitymacji ze zdjęciem wymagane są dwa dokumenty tożsamości.</w:t>
      </w:r>
    </w:p>
    <w:p w:rsidR="00E15CD8" w:rsidRPr="00E15CD8" w:rsidRDefault="00E15CD8" w:rsidP="00E15CD8">
      <w:pPr>
        <w:spacing w:after="0" w:line="240" w:lineRule="auto"/>
        <w:rPr>
          <w:rFonts w:eastAsia="Times New Roman" w:cs="Times New Roman"/>
          <w:lang w:eastAsia="pl-PL"/>
        </w:rPr>
      </w:pPr>
      <w:r w:rsidRPr="00E15CD8">
        <w:rPr>
          <w:rFonts w:eastAsia="Times New Roman" w:cs="Times New Roman"/>
          <w:color w:val="000000"/>
          <w:lang w:eastAsia="pl-PL"/>
        </w:rPr>
        <w:br/>
      </w:r>
      <w:r w:rsidRPr="00E15CD8">
        <w:rPr>
          <w:rFonts w:eastAsia="Times New Roman" w:cs="Times New Roman"/>
          <w:b/>
          <w:bCs/>
          <w:color w:val="002052"/>
          <w:shd w:val="clear" w:color="auto" w:fill="FFFFFF"/>
          <w:lang w:eastAsia="pl-PL"/>
        </w:rPr>
        <w:t>Instytucje nadzoru</w:t>
      </w:r>
      <w:r w:rsidRPr="00E15CD8">
        <w:rPr>
          <w:rFonts w:eastAsia="Times New Roman" w:cs="Times New Roman"/>
          <w:color w:val="000000"/>
          <w:lang w:eastAsia="pl-PL"/>
        </w:rPr>
        <w:br/>
      </w:r>
    </w:p>
    <w:p w:rsidR="00E15CD8" w:rsidRPr="00E15CD8" w:rsidRDefault="00E15CD8" w:rsidP="00E15CD8">
      <w:pPr>
        <w:numPr>
          <w:ilvl w:val="0"/>
          <w:numId w:val="4"/>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Zarządy instytucji edukacyjnych</w:t>
      </w:r>
    </w:p>
    <w:p w:rsidR="00E15CD8" w:rsidRPr="00E15CD8" w:rsidRDefault="00E15CD8" w:rsidP="00E15CD8">
      <w:pPr>
        <w:numPr>
          <w:ilvl w:val="0"/>
          <w:numId w:val="4"/>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Ministerstwa edukacji</w:t>
      </w:r>
    </w:p>
    <w:p w:rsidR="00E15CD8" w:rsidRPr="00E15CD8" w:rsidRDefault="00E15CD8" w:rsidP="00E15CD8">
      <w:pPr>
        <w:numPr>
          <w:ilvl w:val="0"/>
          <w:numId w:val="4"/>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Urzędy administracji okręgów szkolnych</w:t>
      </w:r>
    </w:p>
    <w:p w:rsidR="00E15CD8" w:rsidRPr="00E15CD8" w:rsidRDefault="00E15CD8" w:rsidP="00E15CD8">
      <w:pPr>
        <w:numPr>
          <w:ilvl w:val="0"/>
          <w:numId w:val="4"/>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Wydziały oświaty</w:t>
      </w:r>
    </w:p>
    <w:p w:rsidR="00E15CD8" w:rsidRPr="00E15CD8" w:rsidRDefault="00E15CD8" w:rsidP="00E15CD8">
      <w:pPr>
        <w:spacing w:after="0" w:line="240" w:lineRule="auto"/>
        <w:rPr>
          <w:rFonts w:eastAsia="Times New Roman" w:cs="Times New Roman"/>
          <w:lang w:eastAsia="pl-PL"/>
        </w:rPr>
      </w:pPr>
      <w:r w:rsidRPr="00E15CD8">
        <w:rPr>
          <w:rFonts w:eastAsia="Times New Roman" w:cs="Times New Roman"/>
          <w:color w:val="000000"/>
          <w:lang w:eastAsia="pl-PL"/>
        </w:rPr>
        <w:lastRenderedPageBreak/>
        <w:br/>
      </w:r>
      <w:r w:rsidRPr="00E15CD8">
        <w:rPr>
          <w:rFonts w:eastAsia="Times New Roman" w:cs="Times New Roman"/>
          <w:b/>
          <w:bCs/>
          <w:color w:val="002052"/>
          <w:shd w:val="clear" w:color="auto" w:fill="FFFFFF"/>
          <w:lang w:eastAsia="pl-PL"/>
        </w:rPr>
        <w:t>Szpitale</w:t>
      </w:r>
      <w:r w:rsidRPr="00E15CD8">
        <w:rPr>
          <w:rFonts w:eastAsia="Times New Roman" w:cs="Times New Roman"/>
          <w:color w:val="000000"/>
          <w:lang w:eastAsia="pl-PL"/>
        </w:rPr>
        <w:br/>
      </w:r>
    </w:p>
    <w:p w:rsidR="00E15CD8" w:rsidRPr="00E15CD8" w:rsidRDefault="00E15CD8" w:rsidP="00E15CD8">
      <w:pPr>
        <w:numPr>
          <w:ilvl w:val="0"/>
          <w:numId w:val="5"/>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Wszystkie szpitale. Wyłączone są organizacje ochrony zdrowia i organy centralne.</w:t>
      </w:r>
    </w:p>
    <w:p w:rsidR="00E15CD8" w:rsidRPr="00E15CD8" w:rsidRDefault="00E15CD8" w:rsidP="00E15CD8">
      <w:pPr>
        <w:spacing w:after="0" w:line="240" w:lineRule="auto"/>
        <w:rPr>
          <w:rFonts w:eastAsia="Times New Roman" w:cs="Times New Roman"/>
          <w:lang w:eastAsia="pl-PL"/>
        </w:rPr>
      </w:pPr>
      <w:r w:rsidRPr="00E15CD8">
        <w:rPr>
          <w:rFonts w:eastAsia="Times New Roman" w:cs="Times New Roman"/>
          <w:color w:val="000000"/>
          <w:lang w:eastAsia="pl-PL"/>
        </w:rPr>
        <w:br/>
      </w:r>
      <w:r w:rsidRPr="00E15CD8">
        <w:rPr>
          <w:rFonts w:eastAsia="Times New Roman" w:cs="Times New Roman"/>
          <w:b/>
          <w:bCs/>
          <w:color w:val="002052"/>
          <w:shd w:val="clear" w:color="auto" w:fill="FFFFFF"/>
          <w:lang w:eastAsia="pl-PL"/>
        </w:rPr>
        <w:t>Biblioteki</w:t>
      </w:r>
      <w:r w:rsidRPr="00E15CD8">
        <w:rPr>
          <w:rFonts w:eastAsia="Times New Roman" w:cs="Times New Roman"/>
          <w:color w:val="000000"/>
          <w:lang w:eastAsia="pl-PL"/>
        </w:rPr>
        <w:br/>
      </w:r>
    </w:p>
    <w:p w:rsidR="00E15CD8" w:rsidRPr="00E15CD8" w:rsidRDefault="00E15CD8" w:rsidP="00E15CD8">
      <w:pPr>
        <w:numPr>
          <w:ilvl w:val="0"/>
          <w:numId w:val="6"/>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Wszystkie biblioteki publiczne i szkolne (prowadzone za fundusze publiczne lub prywatne) świadczące usługi typu non-profit dla gmin, regionów lub okręgów</w:t>
      </w:r>
    </w:p>
    <w:p w:rsidR="00E15CD8" w:rsidRPr="00E15CD8" w:rsidRDefault="00E15CD8" w:rsidP="00E15CD8">
      <w:pPr>
        <w:spacing w:after="0" w:line="240" w:lineRule="auto"/>
        <w:rPr>
          <w:rFonts w:eastAsia="Times New Roman" w:cs="Times New Roman"/>
          <w:lang w:eastAsia="pl-PL"/>
        </w:rPr>
      </w:pPr>
      <w:r w:rsidRPr="00E15CD8">
        <w:rPr>
          <w:rFonts w:eastAsia="Times New Roman" w:cs="Times New Roman"/>
          <w:color w:val="000000"/>
          <w:lang w:eastAsia="pl-PL"/>
        </w:rPr>
        <w:br/>
      </w:r>
      <w:r w:rsidRPr="00E15CD8">
        <w:rPr>
          <w:rFonts w:eastAsia="Times New Roman" w:cs="Times New Roman"/>
          <w:b/>
          <w:bCs/>
          <w:color w:val="002052"/>
          <w:shd w:val="clear" w:color="auto" w:fill="FFFFFF"/>
          <w:lang w:eastAsia="pl-PL"/>
        </w:rPr>
        <w:t>Konsorcja i inne instytucje edukacyjne</w:t>
      </w:r>
      <w:r w:rsidRPr="00E15CD8">
        <w:rPr>
          <w:rFonts w:eastAsia="Times New Roman" w:cs="Times New Roman"/>
          <w:color w:val="000000"/>
          <w:lang w:eastAsia="pl-PL"/>
        </w:rPr>
        <w:br/>
      </w:r>
    </w:p>
    <w:p w:rsidR="00E15CD8" w:rsidRPr="00E15CD8" w:rsidRDefault="00E15CD8" w:rsidP="00E15CD8">
      <w:pPr>
        <w:numPr>
          <w:ilvl w:val="0"/>
          <w:numId w:val="7"/>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Prawidłowo zorganizowane korporacje i stowarzyszenia podlegające przepisom stanów, prowincji lub terytoriów</w:t>
      </w:r>
    </w:p>
    <w:p w:rsidR="00E15CD8" w:rsidRPr="00E15CD8" w:rsidRDefault="00E15CD8" w:rsidP="00E15CD8">
      <w:pPr>
        <w:spacing w:after="0" w:line="240" w:lineRule="auto"/>
        <w:rPr>
          <w:rFonts w:eastAsia="Times New Roman" w:cs="Times New Roman"/>
          <w:lang w:eastAsia="pl-PL"/>
        </w:rPr>
      </w:pPr>
      <w:r w:rsidRPr="00E15CD8">
        <w:rPr>
          <w:rFonts w:eastAsia="Times New Roman" w:cs="Times New Roman"/>
          <w:color w:val="000000"/>
          <w:lang w:eastAsia="pl-PL"/>
        </w:rPr>
        <w:br/>
      </w:r>
      <w:r w:rsidRPr="00E15CD8">
        <w:rPr>
          <w:rFonts w:eastAsia="Times New Roman" w:cs="Times New Roman"/>
          <w:b/>
          <w:bCs/>
          <w:color w:val="002052"/>
          <w:shd w:val="clear" w:color="auto" w:fill="FFFFFF"/>
          <w:lang w:eastAsia="pl-PL"/>
        </w:rPr>
        <w:t>Muzea</w:t>
      </w:r>
      <w:r w:rsidRPr="00E15CD8">
        <w:rPr>
          <w:rFonts w:eastAsia="Times New Roman" w:cs="Times New Roman"/>
          <w:color w:val="000000"/>
          <w:lang w:eastAsia="pl-PL"/>
        </w:rPr>
        <w:br/>
      </w:r>
    </w:p>
    <w:p w:rsidR="00E15CD8" w:rsidRPr="00E15CD8" w:rsidRDefault="00E15CD8" w:rsidP="00E15CD8">
      <w:pPr>
        <w:numPr>
          <w:ilvl w:val="0"/>
          <w:numId w:val="8"/>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Stale działające publiczne lub prywatne niekomercyjne przedstawicielstwa lub instytucje ustanowione dla celów edukacyjnych, estetycznych lub kulturalnych</w:t>
      </w:r>
    </w:p>
    <w:p w:rsidR="00E15CD8" w:rsidRPr="00E15CD8" w:rsidRDefault="00E15CD8" w:rsidP="00E15CD8">
      <w:pPr>
        <w:numPr>
          <w:ilvl w:val="0"/>
          <w:numId w:val="8"/>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Wymagana jest własność lub użytkowanie obiektów udostępnianych ogółowi społeczeństwa w sposób stały i regularny</w:t>
      </w:r>
    </w:p>
    <w:p w:rsidR="00E15CD8" w:rsidRPr="00E15CD8" w:rsidRDefault="00E15CD8" w:rsidP="00E15CD8">
      <w:pPr>
        <w:numPr>
          <w:ilvl w:val="0"/>
          <w:numId w:val="8"/>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Wymagane jest gromadzenie, ochrona, przeprowadzanie badań, interpretacji, składanie oraz wystawianie przedmiotów i okazów o walorach edukacyjnych i kulturalnych, w tym artystycznych, naukowych (istoty żywe lub przedmioty nieożywione), historycznych i technicznych, udostępnianych społeczeństwu dla celów naukowych i rozrywkowych</w:t>
      </w:r>
    </w:p>
    <w:p w:rsidR="00E15CD8" w:rsidRPr="00E15CD8" w:rsidRDefault="00E15CD8" w:rsidP="00E15CD8">
      <w:pPr>
        <w:spacing w:after="0" w:line="240" w:lineRule="auto"/>
        <w:rPr>
          <w:rFonts w:eastAsia="Times New Roman" w:cs="Times New Roman"/>
          <w:lang w:eastAsia="pl-PL"/>
        </w:rPr>
      </w:pPr>
      <w:r w:rsidRPr="00E15CD8">
        <w:rPr>
          <w:rFonts w:eastAsia="Times New Roman" w:cs="Times New Roman"/>
          <w:color w:val="000000"/>
          <w:lang w:eastAsia="pl-PL"/>
        </w:rPr>
        <w:br/>
      </w:r>
      <w:r w:rsidRPr="00E15CD8">
        <w:rPr>
          <w:rFonts w:eastAsia="Times New Roman" w:cs="Times New Roman"/>
          <w:b/>
          <w:bCs/>
          <w:color w:val="002052"/>
          <w:shd w:val="clear" w:color="auto" w:fill="FFFFFF"/>
          <w:lang w:eastAsia="pl-PL"/>
        </w:rPr>
        <w:t>Organizacje religijne</w:t>
      </w:r>
      <w:r w:rsidRPr="00E15CD8">
        <w:rPr>
          <w:rFonts w:eastAsia="Times New Roman" w:cs="Times New Roman"/>
          <w:color w:val="000000"/>
          <w:lang w:eastAsia="pl-PL"/>
        </w:rPr>
        <w:br/>
      </w:r>
    </w:p>
    <w:p w:rsidR="00E15CD8" w:rsidRPr="00E15CD8" w:rsidRDefault="00E15CD8" w:rsidP="00E15CD8">
      <w:pPr>
        <w:numPr>
          <w:ilvl w:val="0"/>
          <w:numId w:val="9"/>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 xml:space="preserve">Wszelkie organizacje religijne uznawane za charytatywne w myśl praw prowincji, stanów lub krajów. W USA są to organizacje wymienione w punkcie 501 (c)(3) przepisów o zwolnieniach od podatków — IRS </w:t>
      </w:r>
      <w:proofErr w:type="spellStart"/>
      <w:r w:rsidRPr="00E15CD8">
        <w:rPr>
          <w:rFonts w:eastAsia="Times New Roman" w:cs="Times New Roman"/>
          <w:color w:val="000000"/>
          <w:lang w:eastAsia="pl-PL"/>
        </w:rPr>
        <w:t>Tax</w:t>
      </w:r>
      <w:proofErr w:type="spellEnd"/>
      <w:r w:rsidRPr="00E15CD8">
        <w:rPr>
          <w:rFonts w:eastAsia="Times New Roman" w:cs="Times New Roman"/>
          <w:color w:val="000000"/>
          <w:lang w:eastAsia="pl-PL"/>
        </w:rPr>
        <w:t xml:space="preserve"> </w:t>
      </w:r>
      <w:proofErr w:type="spellStart"/>
      <w:r w:rsidRPr="00E15CD8">
        <w:rPr>
          <w:rFonts w:eastAsia="Times New Roman" w:cs="Times New Roman"/>
          <w:color w:val="000000"/>
          <w:lang w:eastAsia="pl-PL"/>
        </w:rPr>
        <w:t>Exemption</w:t>
      </w:r>
      <w:proofErr w:type="spellEnd"/>
      <w:r w:rsidRPr="00E15CD8">
        <w:rPr>
          <w:rFonts w:eastAsia="Times New Roman" w:cs="Times New Roman"/>
          <w:color w:val="000000"/>
          <w:lang w:eastAsia="pl-PL"/>
        </w:rPr>
        <w:t xml:space="preserve"> 501 (c)(3).</w:t>
      </w:r>
    </w:p>
    <w:p w:rsidR="00E15CD8" w:rsidRPr="00E15CD8" w:rsidRDefault="00E15CD8" w:rsidP="00E15CD8">
      <w:pPr>
        <w:numPr>
          <w:ilvl w:val="0"/>
          <w:numId w:val="9"/>
        </w:numPr>
        <w:shd w:val="clear" w:color="auto" w:fill="FFFFFF"/>
        <w:spacing w:before="100" w:beforeAutospacing="1" w:after="105" w:line="240" w:lineRule="auto"/>
        <w:ind w:left="0" w:right="75"/>
        <w:jc w:val="both"/>
        <w:rPr>
          <w:rFonts w:eastAsia="Times New Roman" w:cs="Times New Roman"/>
          <w:color w:val="000000"/>
          <w:lang w:eastAsia="pl-PL"/>
        </w:rPr>
      </w:pPr>
      <w:r w:rsidRPr="00E15CD8">
        <w:rPr>
          <w:rFonts w:eastAsia="Times New Roman" w:cs="Times New Roman"/>
          <w:color w:val="000000"/>
          <w:lang w:eastAsia="pl-PL"/>
        </w:rPr>
        <w:t>Wierzenia ani obrzędy organizacji nie mogą być uznawane za burzące porządek społeczny lub niemoralne przez sądy lub prawa prowincji, stanów lub krajów.</w:t>
      </w:r>
    </w:p>
    <w:p w:rsidR="00EA29CA" w:rsidRPr="00E15CD8" w:rsidRDefault="00E15CD8" w:rsidP="00E15CD8">
      <w:r w:rsidRPr="00E15CD8">
        <w:rPr>
          <w:rFonts w:eastAsia="Times New Roman" w:cs="Times New Roman"/>
          <w:color w:val="000000"/>
          <w:lang w:eastAsia="pl-PL"/>
        </w:rPr>
        <w:br/>
      </w:r>
      <w:r w:rsidRPr="00E15CD8">
        <w:rPr>
          <w:rFonts w:eastAsia="Times New Roman" w:cs="Times New Roman"/>
          <w:color w:val="000000"/>
          <w:shd w:val="clear" w:color="auto" w:fill="FFFFFF"/>
          <w:lang w:eastAsia="pl-PL"/>
        </w:rPr>
        <w:t>Wyłączenia: Członkowie wspólnot religijnych i parafianie nie są uprawnieni do cen wersji akademickich. Organizacja musi przedstawić zaświadczenie o działalności charytatywnej lub niekomercyjnej oraz dostarczyć wypełniony formularz wniosku organizacji niekomercyjnej i charytatywnej (</w:t>
      </w:r>
      <w:proofErr w:type="spellStart"/>
      <w:r w:rsidRPr="00E15CD8">
        <w:rPr>
          <w:rFonts w:eastAsia="Times New Roman" w:cs="Times New Roman"/>
          <w:color w:val="000000"/>
          <w:shd w:val="clear" w:color="auto" w:fill="FFFFFF"/>
          <w:lang w:eastAsia="pl-PL"/>
        </w:rPr>
        <w:t>Nonprofit</w:t>
      </w:r>
      <w:proofErr w:type="spellEnd"/>
      <w:r w:rsidRPr="00E15CD8">
        <w:rPr>
          <w:rFonts w:eastAsia="Times New Roman" w:cs="Times New Roman"/>
          <w:color w:val="000000"/>
          <w:shd w:val="clear" w:color="auto" w:fill="FFFFFF"/>
          <w:lang w:eastAsia="pl-PL"/>
        </w:rPr>
        <w:t xml:space="preserve"> and </w:t>
      </w:r>
      <w:proofErr w:type="spellStart"/>
      <w:r w:rsidRPr="00E15CD8">
        <w:rPr>
          <w:rFonts w:eastAsia="Times New Roman" w:cs="Times New Roman"/>
          <w:color w:val="000000"/>
          <w:shd w:val="clear" w:color="auto" w:fill="FFFFFF"/>
          <w:lang w:eastAsia="pl-PL"/>
        </w:rPr>
        <w:t>Charitable</w:t>
      </w:r>
      <w:proofErr w:type="spellEnd"/>
      <w:r w:rsidRPr="00E15CD8">
        <w:rPr>
          <w:rFonts w:eastAsia="Times New Roman" w:cs="Times New Roman"/>
          <w:color w:val="000000"/>
          <w:shd w:val="clear" w:color="auto" w:fill="FFFFFF"/>
          <w:lang w:eastAsia="pl-PL"/>
        </w:rPr>
        <w:t xml:space="preserve"> Organization </w:t>
      </w:r>
      <w:proofErr w:type="spellStart"/>
      <w:r w:rsidRPr="00E15CD8">
        <w:rPr>
          <w:rFonts w:eastAsia="Times New Roman" w:cs="Times New Roman"/>
          <w:color w:val="000000"/>
          <w:shd w:val="clear" w:color="auto" w:fill="FFFFFF"/>
          <w:lang w:eastAsia="pl-PL"/>
        </w:rPr>
        <w:t>Request</w:t>
      </w:r>
      <w:proofErr w:type="spellEnd"/>
      <w:r w:rsidRPr="00E15CD8">
        <w:rPr>
          <w:rFonts w:eastAsia="Times New Roman" w:cs="Times New Roman"/>
          <w:color w:val="000000"/>
          <w:shd w:val="clear" w:color="auto" w:fill="FFFFFF"/>
          <w:lang w:eastAsia="pl-PL"/>
        </w:rPr>
        <w:t xml:space="preserve"> Form) dowolnemu autoryzowanemu sprzedawcy wersji akademickich produktów firmy Corel®. Należy zapoznać się z dokumentem nr 1139, dostępnym za pośrednictwem serwisu faksu na żądanie firmy Corel pod numerem telefonu 1-613-724-3456.</w:t>
      </w:r>
      <w:r w:rsidRPr="00E15CD8">
        <w:rPr>
          <w:rFonts w:eastAsia="Times New Roman" w:cs="Times New Roman"/>
          <w:color w:val="000000"/>
          <w:lang w:eastAsia="pl-PL"/>
        </w:rPr>
        <w:br/>
      </w:r>
      <w:r w:rsidRPr="00E15CD8">
        <w:rPr>
          <w:rFonts w:eastAsia="Times New Roman" w:cs="Times New Roman"/>
          <w:color w:val="000000"/>
          <w:lang w:eastAsia="pl-PL"/>
        </w:rPr>
        <w:br/>
      </w:r>
      <w:r w:rsidRPr="00E15CD8">
        <w:rPr>
          <w:rFonts w:eastAsia="Times New Roman" w:cs="Times New Roman"/>
          <w:b/>
          <w:bCs/>
          <w:color w:val="002052"/>
          <w:shd w:val="clear" w:color="auto" w:fill="FFFFFF"/>
          <w:lang w:eastAsia="pl-PL"/>
        </w:rPr>
        <w:lastRenderedPageBreak/>
        <w:t>Warunki i postanowienia</w:t>
      </w:r>
      <w:r w:rsidRPr="00E15CD8">
        <w:rPr>
          <w:rFonts w:eastAsia="Times New Roman" w:cs="Times New Roman"/>
          <w:color w:val="000000"/>
          <w:lang w:eastAsia="pl-PL"/>
        </w:rPr>
        <w:br/>
      </w:r>
      <w:r w:rsidRPr="00E15CD8">
        <w:rPr>
          <w:rFonts w:eastAsia="Times New Roman" w:cs="Times New Roman"/>
          <w:color w:val="000000"/>
          <w:shd w:val="clear" w:color="auto" w:fill="FFFFFF"/>
          <w:lang w:eastAsia="pl-PL"/>
        </w:rPr>
        <w:t>Organizacje są zobowiązane do okazania dowodu uprawnień oraz stosownej akredytacji na życzenie firmy Corel lub autoryzowanego sprzedawcy wersji edukacyjnych produktów firmy Corel. Decyzja o przyjęciu lub odrzuceniu wniosku leży w całości w gestii firmy Corel. Wszelkie zastrzeżenia lub uwagi odnośnie wyżej wymienionych definicji będą rozpatrywane przez firmę Corel. Wszelkie oprogramowanie może być używane wyłącznie do wewnętrznych celów administracyjnych lub edukacyjnych. Produktów nie wolno odsprzedawać, odstępować w formie darowizny ani używać jako nagrody w jakiejkolwiek promocji.</w:t>
      </w:r>
    </w:p>
    <w:sectPr w:rsidR="00EA29CA" w:rsidRPr="00E15C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CD8" w:rsidRDefault="00E15CD8" w:rsidP="00E15CD8">
      <w:pPr>
        <w:spacing w:after="0" w:line="240" w:lineRule="auto"/>
      </w:pPr>
      <w:r>
        <w:separator/>
      </w:r>
    </w:p>
  </w:endnote>
  <w:endnote w:type="continuationSeparator" w:id="0">
    <w:p w:rsidR="00E15CD8" w:rsidRDefault="00E15CD8" w:rsidP="00E1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CD8" w:rsidRDefault="00E15CD8" w:rsidP="00E15CD8">
      <w:pPr>
        <w:spacing w:after="0" w:line="240" w:lineRule="auto"/>
      </w:pPr>
      <w:r>
        <w:separator/>
      </w:r>
    </w:p>
  </w:footnote>
  <w:footnote w:type="continuationSeparator" w:id="0">
    <w:p w:rsidR="00E15CD8" w:rsidRDefault="00E15CD8" w:rsidP="00E15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D46E2"/>
    <w:multiLevelType w:val="multilevel"/>
    <w:tmpl w:val="3FAAD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D61339"/>
    <w:multiLevelType w:val="multilevel"/>
    <w:tmpl w:val="572C9F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24696"/>
    <w:multiLevelType w:val="multilevel"/>
    <w:tmpl w:val="71D80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4291C"/>
    <w:multiLevelType w:val="multilevel"/>
    <w:tmpl w:val="81B810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7F1622"/>
    <w:multiLevelType w:val="multilevel"/>
    <w:tmpl w:val="A5A89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A1676D"/>
    <w:multiLevelType w:val="multilevel"/>
    <w:tmpl w:val="08E47E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D23B49"/>
    <w:multiLevelType w:val="multilevel"/>
    <w:tmpl w:val="357AF9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B21501"/>
    <w:multiLevelType w:val="multilevel"/>
    <w:tmpl w:val="1114B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F42FCC"/>
    <w:multiLevelType w:val="multilevel"/>
    <w:tmpl w:val="9D2C2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8"/>
  </w:num>
  <w:num w:numId="5">
    <w:abstractNumId w:val="0"/>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8"/>
    <w:rsid w:val="00E15CD8"/>
    <w:rsid w:val="00EA29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Pekala, Barbara</dc:creator>
  <cp:lastModifiedBy>Pekala, Barbara</cp:lastModifiedBy>
  <cp:revision>1</cp:revision>
  <dcterms:created xsi:type="dcterms:W3CDTF">2018-10-26T07:44:00Z</dcterms:created>
  <dcterms:modified xsi:type="dcterms:W3CDTF">2018-10-26T07:45:00Z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3c400-78e7-4d42-982d-273adef68ef9_Enabled">
    <vt:lpwstr>True</vt:lpwstr>
  </property>
  <property fmtid="{D5CDD505-2E9C-101B-9397-08002B2CF9AE}" pid="3" name="MSIP_Label_3a23c400-78e7-4d42-982d-273adef68ef9_SiteId">
    <vt:lpwstr>7fe14ab6-8f5d-4139-84bf-cd8aed0ee6b9</vt:lpwstr>
  </property>
  <property fmtid="{D5CDD505-2E9C-101B-9397-08002B2CF9AE}" pid="4" name="MSIP_Label_3a23c400-78e7-4d42-982d-273adef68ef9_Owner">
    <vt:lpwstr>barbara.pekala@techdata.com</vt:lpwstr>
  </property>
  <property fmtid="{D5CDD505-2E9C-101B-9397-08002B2CF9AE}" pid="5" name="MSIP_Label_3a23c400-78e7-4d42-982d-273adef68ef9_SetDate">
    <vt:lpwstr>2018-10-26T07:44:50.8610708Z</vt:lpwstr>
  </property>
  <property fmtid="{D5CDD505-2E9C-101B-9397-08002B2CF9AE}" pid="6" name="MSIP_Label_3a23c400-78e7-4d42-982d-273adef68ef9_Name">
    <vt:lpwstr>Internal Use</vt:lpwstr>
  </property>
  <property fmtid="{D5CDD505-2E9C-101B-9397-08002B2CF9AE}" pid="7" name="MSIP_Label_3a23c400-78e7-4d42-982d-273adef68ef9_Application">
    <vt:lpwstr>Microsoft Azure Information Protection</vt:lpwstr>
  </property>
  <property fmtid="{D5CDD505-2E9C-101B-9397-08002B2CF9AE}" pid="8" name="MSIP_Label_3a23c400-78e7-4d42-982d-273adef68ef9_Extended_MSFT_Method">
    <vt:lpwstr>Automatic</vt:lpwstr>
  </property>
  <property fmtid="{D5CDD505-2E9C-101B-9397-08002B2CF9AE}" pid="9" name="Sensitivity">
    <vt:lpwstr>Internal Use</vt:lpwstr>
  </property>
</Properties>
</file>